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63" w:rsidRPr="0047494D" w:rsidRDefault="00D77563" w:rsidP="007564EC">
      <w:pPr>
        <w:pStyle w:val="Heading2"/>
        <w:numPr>
          <w:ilvl w:val="0"/>
          <w:numId w:val="0"/>
        </w:numPr>
        <w:rPr>
          <w:color w:val="00698E"/>
          <w:lang w:val="es-ES"/>
        </w:rPr>
      </w:pPr>
      <w:r w:rsidRPr="0047494D">
        <w:rPr>
          <w:color w:val="00698E"/>
          <w:lang w:val="es-ES"/>
        </w:rPr>
        <w:t>Lista de control</w:t>
      </w:r>
    </w:p>
    <w:p w:rsidR="00D77563" w:rsidRPr="0047494D" w:rsidRDefault="00D77563" w:rsidP="00EF67DE">
      <w:pPr>
        <w:rPr>
          <w:lang w:val="es-ES"/>
        </w:rPr>
      </w:pPr>
    </w:p>
    <w:p w:rsidR="00D77563" w:rsidRPr="0047494D" w:rsidRDefault="00D77563" w:rsidP="00EF67DE">
      <w:pPr>
        <w:rPr>
          <w:lang w:val="es-ES"/>
        </w:rPr>
      </w:pPr>
      <w:r w:rsidRPr="0047494D">
        <w:rPr>
          <w:lang w:val="es-ES"/>
        </w:rPr>
        <w:t>Ayuda a fijar plazos internos para asegurar que lo más importante se haga a tiempo. Considere completar una lista de control para cada evento que organice.</w:t>
      </w:r>
    </w:p>
    <w:p w:rsidR="00D77563" w:rsidRPr="0047494D" w:rsidRDefault="00D77563" w:rsidP="00EF67DE">
      <w:pPr>
        <w:rPr>
          <w:lang w:val="es-ES"/>
        </w:rPr>
      </w:pPr>
    </w:p>
    <w:tbl>
      <w:tblPr>
        <w:tblW w:w="14417" w:type="dxa"/>
        <w:tbl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blBorders>
        <w:tblLook w:val="01E0"/>
      </w:tblPr>
      <w:tblGrid>
        <w:gridCol w:w="4115"/>
        <w:gridCol w:w="7917"/>
        <w:gridCol w:w="2385"/>
      </w:tblGrid>
      <w:tr w:rsidR="00D77563" w:rsidRPr="0047494D" w:rsidTr="004649EF">
        <w:trPr>
          <w:trHeight w:val="135"/>
        </w:trPr>
        <w:tc>
          <w:tcPr>
            <w:tcW w:w="14417" w:type="dxa"/>
            <w:gridSpan w:val="3"/>
            <w:tcBorders>
              <w:top w:val="single" w:sz="8" w:space="0" w:color="00698E"/>
            </w:tcBorders>
            <w:shd w:val="clear" w:color="auto" w:fill="00698E"/>
          </w:tcPr>
          <w:p w:rsidR="00D77563" w:rsidRPr="0047494D" w:rsidRDefault="00D77563" w:rsidP="004649EF">
            <w:pPr>
              <w:jc w:val="center"/>
              <w:rPr>
                <w:bCs/>
                <w:color w:val="FFFFFF"/>
                <w:lang w:val="es-ES"/>
              </w:rPr>
            </w:pPr>
          </w:p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sz w:val="28"/>
                <w:lang w:val="es-ES"/>
              </w:rPr>
            </w:pPr>
            <w:r w:rsidRPr="0047494D">
              <w:rPr>
                <w:b/>
                <w:bCs/>
                <w:color w:val="FFFFFF"/>
                <w:sz w:val="28"/>
                <w:lang w:val="es-ES"/>
              </w:rPr>
              <w:t>Lista de control de preparativos para la Semana Mundial del Dinero 2016</w:t>
            </w:r>
          </w:p>
          <w:p w:rsidR="00D77563" w:rsidRPr="0047494D" w:rsidRDefault="00D77563" w:rsidP="00BD1840">
            <w:pPr>
              <w:jc w:val="center"/>
              <w:rPr>
                <w:bCs/>
                <w:color w:val="FFFFFF"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tcBorders>
              <w:top w:val="single" w:sz="8" w:space="0" w:color="00698E"/>
              <w:bottom w:val="single" w:sz="8" w:space="0" w:color="00698E"/>
            </w:tcBorders>
            <w:shd w:val="clear" w:color="auto" w:fill="F2F2F2"/>
          </w:tcPr>
          <w:p w:rsidR="00D77563" w:rsidRPr="0047494D" w:rsidRDefault="00D77563" w:rsidP="004649EF">
            <w:pPr>
              <w:jc w:val="center"/>
              <w:rPr>
                <w:b/>
                <w:bCs/>
                <w:color w:val="003447"/>
                <w:lang w:val="es-ES"/>
              </w:rPr>
            </w:pPr>
            <w:r w:rsidRPr="0047494D">
              <w:rPr>
                <w:b/>
                <w:bCs/>
                <w:color w:val="003447"/>
                <w:lang w:val="es-ES"/>
              </w:rPr>
              <w:t>Plazo sugerido</w:t>
            </w: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  <w:shd w:val="clear" w:color="auto" w:fill="F2F2F2"/>
          </w:tcPr>
          <w:p w:rsidR="00D77563" w:rsidRPr="0047494D" w:rsidRDefault="00D77563" w:rsidP="004649EF">
            <w:pPr>
              <w:jc w:val="center"/>
              <w:rPr>
                <w:b/>
                <w:color w:val="003447"/>
                <w:lang w:val="es-ES"/>
              </w:rPr>
            </w:pPr>
            <w:r w:rsidRPr="0047494D">
              <w:rPr>
                <w:b/>
                <w:color w:val="003447"/>
                <w:lang w:val="es-ES"/>
              </w:rPr>
              <w:t>Tarea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  <w:shd w:val="clear" w:color="auto" w:fill="F2F2F2"/>
          </w:tcPr>
          <w:p w:rsidR="00D77563" w:rsidRPr="0047494D" w:rsidRDefault="00D77563" w:rsidP="004649EF">
            <w:pPr>
              <w:jc w:val="center"/>
              <w:rPr>
                <w:b/>
                <w:bCs/>
                <w:color w:val="003447"/>
                <w:lang w:val="es-ES"/>
              </w:rPr>
            </w:pPr>
            <w:r w:rsidRPr="0047494D">
              <w:rPr>
                <w:b/>
                <w:bCs/>
                <w:color w:val="003447"/>
                <w:lang w:val="es-ES"/>
              </w:rPr>
              <w:t>¿Completada?</w:t>
            </w: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tcBorders>
              <w:top w:val="single" w:sz="8" w:space="0" w:color="00698E"/>
              <w:bottom w:val="single" w:sz="4" w:space="0" w:color="00698E"/>
            </w:tcBorders>
            <w:shd w:val="clear" w:color="auto" w:fill="00698E"/>
          </w:tcPr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Antes de fines de 2015</w:t>
            </w:r>
          </w:p>
          <w:p w:rsidR="00D77563" w:rsidRPr="0047494D" w:rsidRDefault="00D77563" w:rsidP="004649EF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4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Solicitar un kit</w:t>
            </w:r>
            <w:r>
              <w:rPr>
                <w:lang w:val="es-ES"/>
              </w:rPr>
              <w:t xml:space="preserve"> de herramientas</w:t>
            </w:r>
            <w:r w:rsidRPr="0047494D">
              <w:rPr>
                <w:lang w:val="es-ES"/>
              </w:rPr>
              <w:t xml:space="preserve"> a CYFI </w:t>
            </w:r>
          </w:p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 xml:space="preserve">Se pueden solicitar copias adicionales y otros materiales a </w:t>
            </w:r>
            <w:r w:rsidRPr="0047494D">
              <w:rPr>
                <w:b/>
                <w:u w:val="single"/>
                <w:lang w:val="es-ES"/>
              </w:rPr>
              <w:t>info@childfinance.org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4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  <w:shd w:val="clear" w:color="auto" w:fill="FFFFFF"/>
          </w:tcPr>
          <w:p w:rsidR="00D77563" w:rsidRPr="0047494D" w:rsidRDefault="00D77563" w:rsidP="004649EF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  <w:shd w:val="clear" w:color="auto" w:fill="FFFFFF"/>
          </w:tcPr>
          <w:p w:rsidR="00D77563" w:rsidRPr="0047494D" w:rsidRDefault="00D77563" w:rsidP="001601F2">
            <w:pPr>
              <w:rPr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  <w:shd w:val="clear" w:color="auto" w:fill="FFFFFF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 w:val="restart"/>
            <w:tcBorders>
              <w:top w:val="single" w:sz="4" w:space="0" w:color="00698E"/>
              <w:left w:val="single" w:sz="4" w:space="0" w:color="00698E"/>
              <w:bottom w:val="single" w:sz="4" w:space="0" w:color="00698E"/>
              <w:right w:val="single" w:sz="4" w:space="0" w:color="00698E"/>
            </w:tcBorders>
            <w:shd w:val="clear" w:color="auto" w:fill="00698E"/>
          </w:tcPr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</w:p>
          <w:p w:rsidR="00D77563" w:rsidRPr="0047494D" w:rsidRDefault="00D77563" w:rsidP="004649EF">
            <w:pPr>
              <w:shd w:val="clear" w:color="auto" w:fill="00698E"/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Principios de enero</w:t>
            </w:r>
          </w:p>
          <w:p w:rsidR="00D77563" w:rsidRPr="0047494D" w:rsidRDefault="00D77563" w:rsidP="004649EF">
            <w:pPr>
              <w:shd w:val="clear" w:color="auto" w:fill="00698E"/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3 meses antes de la Semana Mundial del Dinero</w:t>
            </w:r>
          </w:p>
          <w:p w:rsidR="00D77563" w:rsidRPr="0047494D" w:rsidRDefault="00D77563" w:rsidP="004649EF">
            <w:pPr>
              <w:shd w:val="clear" w:color="auto" w:fill="00698E"/>
              <w:jc w:val="center"/>
              <w:rPr>
                <w:b/>
                <w:bCs/>
                <w:color w:val="FFFFFF"/>
                <w:lang w:val="es-ES"/>
              </w:rPr>
            </w:pPr>
          </w:p>
          <w:p w:rsidR="00D77563" w:rsidRPr="0047494D" w:rsidRDefault="00D77563" w:rsidP="004649EF">
            <w:pPr>
              <w:shd w:val="clear" w:color="auto" w:fill="00698E"/>
              <w:jc w:val="center"/>
              <w:rPr>
                <w:b/>
                <w:bCs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Planificación</w:t>
            </w:r>
          </w:p>
        </w:tc>
        <w:tc>
          <w:tcPr>
            <w:tcW w:w="7917" w:type="dxa"/>
            <w:tcBorders>
              <w:top w:val="single" w:sz="4" w:space="0" w:color="00698E"/>
              <w:left w:val="single" w:sz="4" w:space="0" w:color="00698E"/>
              <w:bottom w:val="single" w:sz="4" w:space="0" w:color="00698E"/>
              <w:right w:val="single" w:sz="4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Constituir el equipo de planificación</w:t>
            </w:r>
          </w:p>
        </w:tc>
        <w:tc>
          <w:tcPr>
            <w:tcW w:w="2385" w:type="dxa"/>
            <w:tcBorders>
              <w:top w:val="single" w:sz="4" w:space="0" w:color="00698E"/>
              <w:left w:val="single" w:sz="4" w:space="0" w:color="00698E"/>
              <w:bottom w:val="single" w:sz="4" w:space="0" w:color="00698E"/>
              <w:right w:val="single" w:sz="4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4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4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Asignar roles dentro del equipo de planificación</w:t>
            </w:r>
          </w:p>
        </w:tc>
        <w:tc>
          <w:tcPr>
            <w:tcW w:w="2385" w:type="dxa"/>
            <w:tcBorders>
              <w:top w:val="single" w:sz="4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Investigar y realizar un intercambio de ideas sobre los eventos a celebrar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>
              <w:rPr>
                <w:lang w:val="es-ES"/>
              </w:rPr>
              <w:t xml:space="preserve">Decidir cuáles serán los </w:t>
            </w:r>
            <w:r w:rsidRPr="0047494D">
              <w:rPr>
                <w:lang w:val="es-ES"/>
              </w:rPr>
              <w:t>eventos a celebrar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Establecer en qué modo la estructura del evento puede contribuir a los valores de la Semana Mundial del Dinero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4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4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lang w:val="es-ES"/>
              </w:rPr>
            </w:pPr>
            <w:r w:rsidRPr="0047494D">
              <w:rPr>
                <w:b/>
                <w:lang w:val="es-ES"/>
              </w:rPr>
              <w:t>Objetivos de planificación alcanzados para principios de enero: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4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u w:val="single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b/>
                <w:bCs/>
                <w:u w:val="single"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 w:val="restart"/>
            <w:tcBorders>
              <w:top w:val="single" w:sz="4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Mediados de enero, 2016</w:t>
            </w:r>
          </w:p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 xml:space="preserve">10 semanas antes de la Semana Mundial del Dinero </w:t>
            </w:r>
          </w:p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</w:p>
          <w:p w:rsidR="00D77563" w:rsidRPr="0047494D" w:rsidRDefault="00D77563" w:rsidP="004649EF">
            <w:pPr>
              <w:jc w:val="center"/>
              <w:rPr>
                <w:b/>
                <w:bCs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Gestión logística</w:t>
            </w:r>
          </w:p>
        </w:tc>
        <w:tc>
          <w:tcPr>
            <w:tcW w:w="7917" w:type="dxa"/>
            <w:tcBorders>
              <w:top w:val="single" w:sz="4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Elegir</w:t>
            </w:r>
            <w:r>
              <w:rPr>
                <w:lang w:val="es-ES"/>
              </w:rPr>
              <w:t xml:space="preserve"> la</w:t>
            </w:r>
            <w:r w:rsidRPr="0047494D">
              <w:rPr>
                <w:lang w:val="es-ES"/>
              </w:rPr>
              <w:t xml:space="preserve"> fecha para el evento</w:t>
            </w:r>
          </w:p>
        </w:tc>
        <w:tc>
          <w:tcPr>
            <w:tcW w:w="2385" w:type="dxa"/>
            <w:tcBorders>
              <w:top w:val="single" w:sz="4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Fijar el presupuesto para el evento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Asegurar</w:t>
            </w:r>
            <w:r>
              <w:rPr>
                <w:lang w:val="es-ES"/>
              </w:rPr>
              <w:t xml:space="preserve"> el</w:t>
            </w:r>
            <w:r w:rsidRPr="0047494D">
              <w:rPr>
                <w:lang w:val="es-ES"/>
              </w:rPr>
              <w:t xml:space="preserve"> capital inicial 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 xml:space="preserve">Diseñar </w:t>
            </w:r>
            <w:r>
              <w:rPr>
                <w:lang w:val="es-ES"/>
              </w:rPr>
              <w:t xml:space="preserve">el </w:t>
            </w:r>
            <w:r w:rsidRPr="0047494D">
              <w:rPr>
                <w:lang w:val="es-ES"/>
              </w:rPr>
              <w:t>plan de compensación para el capital inicial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Obtener medio</w:t>
            </w:r>
            <w:r>
              <w:rPr>
                <w:lang w:val="es-ES"/>
              </w:rPr>
              <w:t>s</w:t>
            </w:r>
            <w:r w:rsidRPr="0047494D">
              <w:rPr>
                <w:lang w:val="es-ES"/>
              </w:rPr>
              <w:t xml:space="preserve"> de transporte al evento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Obtener equipamiento y mobiliario necesario para el evento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rFonts w:cs="Helvetica"/>
                <w:color w:val="141413"/>
                <w:lang w:val="es-ES"/>
              </w:rPr>
            </w:pPr>
            <w:r w:rsidRPr="0047494D">
              <w:rPr>
                <w:rFonts w:cs="Helvetica"/>
                <w:color w:val="141413"/>
                <w:lang w:val="es-ES"/>
              </w:rPr>
              <w:t>Solicitar material &amp; equipamiento que se pueda obtener mediante préstamos o donaciones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Asignar roles a los voluntarios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941C17">
            <w:pPr>
              <w:rPr>
                <w:lang w:val="es-ES"/>
              </w:rPr>
            </w:pPr>
            <w:r w:rsidRPr="0047494D">
              <w:rPr>
                <w:lang w:val="es-ES"/>
              </w:rPr>
              <w:t>Ingresar las fechas de los eventos al calendario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Preparar el programa de eventos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tcBorders>
              <w:top w:val="single" w:sz="8" w:space="0" w:color="00698E"/>
              <w:bottom w:val="single" w:sz="4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4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lang w:val="es-ES"/>
              </w:rPr>
            </w:pPr>
            <w:r w:rsidRPr="0047494D">
              <w:rPr>
                <w:b/>
                <w:lang w:val="es-ES"/>
              </w:rPr>
              <w:t>Objetivos de gestión logística alcanzados para mediados de enero: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4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282"/>
        </w:trPr>
        <w:tc>
          <w:tcPr>
            <w:tcW w:w="4115" w:type="dxa"/>
            <w:vMerge w:val="restart"/>
            <w:tcBorders>
              <w:top w:val="single" w:sz="4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4649EF">
            <w:pPr>
              <w:jc w:val="center"/>
              <w:rPr>
                <w:b/>
                <w:bCs/>
                <w:lang w:val="es-ES"/>
              </w:rPr>
            </w:pPr>
          </w:p>
          <w:p w:rsidR="00D77563" w:rsidRPr="0047494D" w:rsidRDefault="00D77563" w:rsidP="004649EF">
            <w:pPr>
              <w:shd w:val="clear" w:color="auto" w:fill="00698E"/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Mediados de enero, 2016</w:t>
            </w:r>
          </w:p>
          <w:p w:rsidR="00D77563" w:rsidRPr="0047494D" w:rsidRDefault="00D77563" w:rsidP="00065469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 xml:space="preserve">10 semanas antes de la Semana Mundial del Dinero </w:t>
            </w:r>
          </w:p>
          <w:p w:rsidR="00D77563" w:rsidRPr="0047494D" w:rsidRDefault="00D77563" w:rsidP="004649EF">
            <w:pPr>
              <w:shd w:val="clear" w:color="auto" w:fill="00698E"/>
              <w:jc w:val="center"/>
              <w:rPr>
                <w:b/>
                <w:bCs/>
                <w:color w:val="FFFFFF"/>
                <w:lang w:val="es-ES"/>
              </w:rPr>
            </w:pPr>
          </w:p>
          <w:p w:rsidR="00D77563" w:rsidRPr="0047494D" w:rsidRDefault="00D77563" w:rsidP="004649EF">
            <w:pPr>
              <w:shd w:val="clear" w:color="auto" w:fill="00698E"/>
              <w:jc w:val="center"/>
              <w:rPr>
                <w:b/>
                <w:bCs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Contacto</w:t>
            </w:r>
          </w:p>
        </w:tc>
        <w:tc>
          <w:tcPr>
            <w:tcW w:w="7917" w:type="dxa"/>
            <w:tcBorders>
              <w:top w:val="single" w:sz="4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Institución financiera a visitar</w:t>
            </w:r>
          </w:p>
        </w:tc>
        <w:tc>
          <w:tcPr>
            <w:tcW w:w="2385" w:type="dxa"/>
            <w:tcBorders>
              <w:top w:val="single" w:sz="4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Posibles socios corporativos para el evento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Medios de comunicación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Voluntarios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Supervisores (si fuera necesario)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bottom w:val="single" w:sz="4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bottom w:val="single" w:sz="4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lang w:val="es-ES"/>
              </w:rPr>
            </w:pPr>
            <w:r w:rsidRPr="0047494D">
              <w:rPr>
                <w:b/>
                <w:lang w:val="es-ES"/>
              </w:rPr>
              <w:t>Objetivos de contacto alcanzados para mediados de enero:</w:t>
            </w:r>
          </w:p>
        </w:tc>
        <w:tc>
          <w:tcPr>
            <w:tcW w:w="2385" w:type="dxa"/>
            <w:tcBorders>
              <w:bottom w:val="single" w:sz="4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 w:val="restart"/>
            <w:tcBorders>
              <w:top w:val="single" w:sz="4" w:space="0" w:color="00698E"/>
            </w:tcBorders>
            <w:shd w:val="clear" w:color="auto" w:fill="00698E"/>
          </w:tcPr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</w:p>
          <w:p w:rsidR="00D77563" w:rsidRPr="0047494D" w:rsidRDefault="00D77563" w:rsidP="00065469">
            <w:pPr>
              <w:shd w:val="clear" w:color="auto" w:fill="00698E"/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Mediados de enero, 2016</w:t>
            </w:r>
          </w:p>
          <w:p w:rsidR="00D77563" w:rsidRPr="0047494D" w:rsidRDefault="00D77563" w:rsidP="00065469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 xml:space="preserve">10 semanas antes de la Semana Mundial del Dinero </w:t>
            </w:r>
          </w:p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</w:p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Difusión</w:t>
            </w:r>
          </w:p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--------------------------------</w:t>
            </w:r>
          </w:p>
        </w:tc>
        <w:tc>
          <w:tcPr>
            <w:tcW w:w="7917" w:type="dxa"/>
            <w:tcBorders>
              <w:top w:val="single" w:sz="4" w:space="0" w:color="00698E"/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52229A">
            <w:pPr>
              <w:rPr>
                <w:lang w:val="es-ES"/>
              </w:rPr>
            </w:pPr>
            <w:r w:rsidRPr="0047494D">
              <w:rPr>
                <w:lang w:val="es-ES"/>
              </w:rPr>
              <w:t>Imprimir recursos y colocarlos en lugares visibles</w:t>
            </w:r>
          </w:p>
        </w:tc>
        <w:tc>
          <w:tcPr>
            <w:tcW w:w="2385" w:type="dxa"/>
            <w:tcBorders>
              <w:top w:val="single" w:sz="4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color w:val="FFFFFF"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Compartir imágenes de la Semana Mundial del Dinero en las redes sociales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color w:val="FFFFFF"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4B0F9D">
            <w:pPr>
              <w:rPr>
                <w:lang w:val="es-ES"/>
              </w:rPr>
            </w:pPr>
            <w:r w:rsidRPr="0047494D">
              <w:rPr>
                <w:lang w:val="es-ES"/>
              </w:rPr>
              <w:t>Imprimir la Hoja de Compromiso (Paquete de impresión de la Semana Mundial del Dinero) y compartirla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color w:val="FFFFFF"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 xml:space="preserve">Obtener cámaras  fotográficas y cámaras de video para documentar el evento 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color w:val="FFFFFF"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Publicar y promover el evento en las redes sociales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color w:val="FFFFFF"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lang w:val="es-ES"/>
              </w:rPr>
            </w:pPr>
            <w:r w:rsidRPr="0047494D">
              <w:rPr>
                <w:b/>
                <w:lang w:val="es-ES"/>
              </w:rPr>
              <w:t>Objetivos de difusión alcanzados para mediados de enero: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 w:val="restart"/>
            <w:shd w:val="clear" w:color="auto" w:fill="00698E"/>
          </w:tcPr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14-20 de Marzo, 2016</w:t>
            </w:r>
          </w:p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Una semana antes de la Semana Mundial del Dinero</w:t>
            </w:r>
          </w:p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</w:p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Detalles finales</w:t>
            </w: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Llevar a cabo una reunión para ultimar la logística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Confirmar el programa del día y distribuirlo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bottom w:val="single" w:sz="4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bottom w:val="single" w:sz="4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lang w:val="es-ES"/>
              </w:rPr>
            </w:pPr>
            <w:r w:rsidRPr="0047494D">
              <w:rPr>
                <w:b/>
                <w:lang w:val="es-ES"/>
              </w:rPr>
              <w:t>Objetivos de detalles finales alcanzados para 14-20 de Marzo:</w:t>
            </w:r>
          </w:p>
        </w:tc>
        <w:tc>
          <w:tcPr>
            <w:tcW w:w="2385" w:type="dxa"/>
            <w:tcBorders>
              <w:bottom w:val="single" w:sz="4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tcBorders>
              <w:top w:val="single" w:sz="4" w:space="0" w:color="00698E"/>
            </w:tcBorders>
            <w:shd w:val="clear" w:color="auto" w:fill="00698E"/>
          </w:tcPr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u w:val="single"/>
                <w:lang w:val="es-ES"/>
              </w:rPr>
            </w:pPr>
            <w:r w:rsidRPr="0047494D">
              <w:rPr>
                <w:b/>
                <w:bCs/>
                <w:color w:val="FFFFFF"/>
                <w:u w:val="single"/>
                <w:lang w:val="es-ES"/>
              </w:rPr>
              <w:t>Conferencia web</w:t>
            </w:r>
          </w:p>
        </w:tc>
        <w:tc>
          <w:tcPr>
            <w:tcW w:w="7917" w:type="dxa"/>
            <w:tcBorders>
              <w:top w:val="single" w:sz="4" w:space="0" w:color="00698E"/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4649EF">
            <w:pPr>
              <w:ind w:right="-128"/>
              <w:rPr>
                <w:u w:val="single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00698E"/>
            </w:tcBorders>
          </w:tcPr>
          <w:p w:rsidR="00D77563" w:rsidRPr="0047494D" w:rsidRDefault="00D77563" w:rsidP="004649EF">
            <w:pPr>
              <w:ind w:left="182"/>
              <w:rPr>
                <w:b/>
                <w:bCs/>
                <w:u w:val="single"/>
                <w:lang w:val="es-ES"/>
              </w:rPr>
            </w:pPr>
          </w:p>
        </w:tc>
      </w:tr>
      <w:tr w:rsidR="00D77563" w:rsidRPr="0047494D" w:rsidTr="0047494D">
        <w:trPr>
          <w:trHeight w:val="216"/>
        </w:trPr>
        <w:tc>
          <w:tcPr>
            <w:tcW w:w="4115" w:type="dxa"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Lo antes posible</w:t>
            </w:r>
          </w:p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1 semana antes de la fecha programada</w:t>
            </w: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Ingresar horarios disponibles al calendario online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shd w:val="clear" w:color="auto" w:fill="00698E"/>
          </w:tcPr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Durante la Semana Mundial del Dinero 2016</w:t>
            </w: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Programar una llamada de prueba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E97BE5">
            <w:pPr>
              <w:rPr>
                <w:b/>
                <w:bCs/>
                <w:color w:val="FFFFFF"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u w:val="single"/>
                <w:lang w:val="es-ES"/>
              </w:rPr>
            </w:pPr>
            <w:r w:rsidRPr="0047494D">
              <w:rPr>
                <w:lang w:val="es-ES"/>
              </w:rPr>
              <w:t xml:space="preserve">Realizar la llamada: 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tcBorders>
              <w:bottom w:val="single" w:sz="4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color w:val="FFFFFF"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bottom w:val="single" w:sz="4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b/>
                <w:lang w:val="es-ES"/>
              </w:rPr>
              <w:t>Objetivos de conferencia web alcanzados:</w:t>
            </w:r>
          </w:p>
        </w:tc>
        <w:tc>
          <w:tcPr>
            <w:tcW w:w="2385" w:type="dxa"/>
            <w:tcBorders>
              <w:bottom w:val="single" w:sz="4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 w:val="restart"/>
            <w:tcBorders>
              <w:top w:val="single" w:sz="4" w:space="0" w:color="00698E"/>
            </w:tcBorders>
            <w:shd w:val="clear" w:color="auto" w:fill="00698E"/>
          </w:tcPr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</w:p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Finales de marzo, 2016</w:t>
            </w:r>
          </w:p>
          <w:p w:rsidR="00D77563" w:rsidRPr="0047494D" w:rsidRDefault="00D77563" w:rsidP="0047494D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Lo antes posible después de la Semana Mundial del Dinero</w:t>
            </w:r>
          </w:p>
          <w:p w:rsidR="00D77563" w:rsidRPr="0047494D" w:rsidRDefault="00D77563" w:rsidP="001601F2">
            <w:pPr>
              <w:rPr>
                <w:b/>
                <w:bCs/>
                <w:color w:val="FFFFFF"/>
                <w:lang w:val="es-ES"/>
              </w:rPr>
            </w:pPr>
          </w:p>
          <w:p w:rsidR="00D77563" w:rsidRPr="0047494D" w:rsidRDefault="00D77563" w:rsidP="004649EF">
            <w:pPr>
              <w:jc w:val="center"/>
              <w:rPr>
                <w:b/>
                <w:bCs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Cierre</w:t>
            </w:r>
          </w:p>
        </w:tc>
        <w:tc>
          <w:tcPr>
            <w:tcW w:w="7917" w:type="dxa"/>
            <w:tcBorders>
              <w:top w:val="single" w:sz="4" w:space="0" w:color="00698E"/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Agradecer a los individuos y grupos que ayudar</w:t>
            </w:r>
            <w:r>
              <w:rPr>
                <w:lang w:val="es-ES"/>
              </w:rPr>
              <w:t>on</w:t>
            </w:r>
            <w:r w:rsidRPr="0047494D">
              <w:rPr>
                <w:lang w:val="es-ES"/>
              </w:rPr>
              <w:t xml:space="preserve"> a hacer posible el evento</w:t>
            </w:r>
          </w:p>
        </w:tc>
        <w:tc>
          <w:tcPr>
            <w:tcW w:w="2385" w:type="dxa"/>
            <w:tcBorders>
              <w:top w:val="single" w:sz="4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Completar y presentar el formulario de comentarios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Presentar la solicitud para el Global Money Week Champion Award antes de la fecha límite.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Presentar la solicitud para el Global Money Week Country Award antes de la fecha límite.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right w:val="single" w:sz="8" w:space="0" w:color="00698E"/>
            </w:tcBorders>
          </w:tcPr>
          <w:p w:rsidR="00D77563" w:rsidRPr="0047494D" w:rsidRDefault="00D77563" w:rsidP="0052229A">
            <w:pPr>
              <w:rPr>
                <w:lang w:val="es-ES"/>
              </w:rPr>
            </w:pPr>
            <w:r w:rsidRPr="0047494D">
              <w:rPr>
                <w:lang w:val="es-ES"/>
              </w:rPr>
              <w:t>Asegurarse de que los comentarios se envíen al Secretariado de CYFI</w:t>
            </w:r>
          </w:p>
        </w:tc>
        <w:tc>
          <w:tcPr>
            <w:tcW w:w="2385" w:type="dxa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vMerge/>
            <w:tcBorders>
              <w:top w:val="single" w:sz="8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8" w:space="0" w:color="00698E"/>
              <w:left w:val="single" w:sz="8" w:space="0" w:color="00698E"/>
              <w:bottom w:val="single" w:sz="8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  <w:r w:rsidRPr="0047494D">
              <w:rPr>
                <w:lang w:val="es-ES"/>
              </w:rPr>
              <w:t>Presentar la hoja de compromiso al Secretariado de CYFI</w:t>
            </w:r>
          </w:p>
        </w:tc>
        <w:tc>
          <w:tcPr>
            <w:tcW w:w="2385" w:type="dxa"/>
            <w:tcBorders>
              <w:top w:val="single" w:sz="8" w:space="0" w:color="00698E"/>
              <w:bottom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tcBorders>
              <w:bottom w:val="single" w:sz="4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left w:val="single" w:sz="8" w:space="0" w:color="00698E"/>
              <w:bottom w:val="single" w:sz="4" w:space="0" w:color="00698E"/>
              <w:right w:val="single" w:sz="8" w:space="0" w:color="00698E"/>
            </w:tcBorders>
          </w:tcPr>
          <w:p w:rsidR="00D77563" w:rsidRPr="0047494D" w:rsidRDefault="00D77563" w:rsidP="001601F2">
            <w:pPr>
              <w:rPr>
                <w:b/>
                <w:lang w:val="es-ES"/>
              </w:rPr>
            </w:pPr>
            <w:r w:rsidRPr="0047494D">
              <w:rPr>
                <w:b/>
                <w:lang w:val="es-ES"/>
              </w:rPr>
              <w:t xml:space="preserve">Objetivos de cierre alcanzados: </w:t>
            </w:r>
          </w:p>
        </w:tc>
        <w:tc>
          <w:tcPr>
            <w:tcW w:w="2385" w:type="dxa"/>
            <w:tcBorders>
              <w:bottom w:val="single" w:sz="4" w:space="0" w:color="00698E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4115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  <w:tc>
          <w:tcPr>
            <w:tcW w:w="7917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00698E"/>
              <w:left w:val="nil"/>
              <w:bottom w:val="single" w:sz="4" w:space="0" w:color="00698E"/>
              <w:right w:val="nil"/>
            </w:tcBorders>
          </w:tcPr>
          <w:p w:rsidR="00D77563" w:rsidRPr="0047494D" w:rsidRDefault="00D77563" w:rsidP="001601F2">
            <w:pPr>
              <w:rPr>
                <w:b/>
                <w:bCs/>
                <w:lang w:val="es-ES"/>
              </w:rPr>
            </w:pPr>
          </w:p>
        </w:tc>
      </w:tr>
      <w:tr w:rsidR="00D77563" w:rsidRPr="0047494D" w:rsidTr="004649EF">
        <w:trPr>
          <w:trHeight w:val="135"/>
        </w:trPr>
        <w:tc>
          <w:tcPr>
            <w:tcW w:w="14417" w:type="dxa"/>
            <w:gridSpan w:val="3"/>
            <w:tcBorders>
              <w:top w:val="single" w:sz="4" w:space="0" w:color="00698E"/>
              <w:bottom w:val="single" w:sz="8" w:space="0" w:color="00698E"/>
            </w:tcBorders>
            <w:shd w:val="clear" w:color="auto" w:fill="00698E"/>
          </w:tcPr>
          <w:p w:rsidR="00D77563" w:rsidRPr="0047494D" w:rsidRDefault="00D77563" w:rsidP="004649EF">
            <w:pPr>
              <w:jc w:val="center"/>
              <w:rPr>
                <w:b/>
                <w:bCs/>
                <w:color w:val="FFFFFF"/>
                <w:lang w:val="es-ES"/>
              </w:rPr>
            </w:pPr>
          </w:p>
          <w:p w:rsidR="00D77563" w:rsidRPr="0047494D" w:rsidRDefault="00D77563" w:rsidP="006B414D">
            <w:pPr>
              <w:jc w:val="center"/>
              <w:rPr>
                <w:b/>
                <w:bCs/>
                <w:color w:val="FFFFFF"/>
                <w:lang w:val="es-ES"/>
              </w:rPr>
            </w:pPr>
            <w:r w:rsidRPr="0047494D">
              <w:rPr>
                <w:b/>
                <w:bCs/>
                <w:color w:val="FFFFFF"/>
                <w:lang w:val="es-ES"/>
              </w:rPr>
              <w:t>¡Marque en su calendario la Semana Mundial del Dinero del próximo año, en</w:t>
            </w:r>
            <w:r>
              <w:rPr>
                <w:b/>
                <w:bCs/>
                <w:color w:val="FFFFFF"/>
                <w:lang w:val="es-ES"/>
              </w:rPr>
              <w:t xml:space="preserve"> 14-20 de marzo de</w:t>
            </w:r>
            <w:r w:rsidRPr="0047494D">
              <w:rPr>
                <w:b/>
                <w:bCs/>
                <w:color w:val="FFFFFF"/>
                <w:lang w:val="es-ES"/>
              </w:rPr>
              <w:t xml:space="preserve"> 2016! </w:t>
            </w:r>
          </w:p>
          <w:p w:rsidR="00D77563" w:rsidRPr="0047494D" w:rsidRDefault="00D77563" w:rsidP="004649EF">
            <w:pPr>
              <w:jc w:val="center"/>
              <w:rPr>
                <w:b/>
                <w:bCs/>
                <w:lang w:val="es-ES"/>
              </w:rPr>
            </w:pPr>
          </w:p>
        </w:tc>
      </w:tr>
    </w:tbl>
    <w:p w:rsidR="00D77563" w:rsidRPr="0047494D" w:rsidRDefault="00D77563" w:rsidP="00CF01FB">
      <w:pPr>
        <w:rPr>
          <w:lang w:val="es-ES"/>
        </w:rPr>
      </w:pPr>
    </w:p>
    <w:sectPr w:rsidR="00D77563" w:rsidRPr="0047494D" w:rsidSect="00CF01FB">
      <w:footerReference w:type="even" r:id="rId7"/>
      <w:footerReference w:type="default" r:id="rId8"/>
      <w:pgSz w:w="16840" w:h="11900" w:orient="landscape"/>
      <w:pgMar w:top="1134" w:right="1361" w:bottom="1134" w:left="1191" w:header="567" w:footer="340" w:gutter="0"/>
      <w:cols w:space="22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563" w:rsidRDefault="00D77563" w:rsidP="00D104A7">
      <w:pPr>
        <w:spacing w:line="240" w:lineRule="auto"/>
      </w:pPr>
      <w:r>
        <w:separator/>
      </w:r>
    </w:p>
  </w:endnote>
  <w:endnote w:type="continuationSeparator" w:id="0">
    <w:p w:rsidR="00D77563" w:rsidRDefault="00D77563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63" w:rsidRDefault="00D77563" w:rsidP="00CF01FB">
    <w:pPr>
      <w:pStyle w:val="Footer"/>
      <w:jc w:val="right"/>
    </w:pPr>
    <w:r>
      <w:t>GLOBAL MONEY WEEK TOOLKIT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563" w:rsidRPr="00A00371" w:rsidRDefault="00D77563" w:rsidP="00CF5F8F">
    <w:pPr>
      <w:pStyle w:val="Footer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2049" type="#_x0000_t75" alt="Description: C:\Users\Liina\Desktop\CYFI TÖÖ\CYFI logo and communications details\CYFI LOGO 2013\CYFI-Square logo 100x100px.png" style="position:absolute;margin-left:-32.2pt;margin-top:-13.15pt;width:25pt;height:25pt;z-index:251660288;visibility:visible">
          <v:imagedata r:id="rId1" o:title=""/>
          <w10:wrap type="square"/>
        </v:shape>
      </w:pict>
    </w:r>
    <w:r w:rsidRPr="00CF01FB">
      <w:t xml:space="preserve"> </w:t>
    </w:r>
    <w:r>
      <w:t xml:space="preserve"> GLOBAL MONEY WEEK TOOLKIT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563" w:rsidRDefault="00D77563" w:rsidP="001E7142">
      <w:pPr>
        <w:spacing w:line="240" w:lineRule="auto"/>
      </w:pPr>
      <w:r>
        <w:separator/>
      </w:r>
    </w:p>
  </w:footnote>
  <w:footnote w:type="continuationSeparator" w:id="0">
    <w:p w:rsidR="00D77563" w:rsidRDefault="00D77563" w:rsidP="00D10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640A91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0">
    <w:nsid w:val="FFFFFF89"/>
    <w:multiLevelType w:val="singleLevel"/>
    <w:tmpl w:val="4FEED9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B205F"/>
        <w:sz w:val="16"/>
      </w:rPr>
    </w:lvl>
  </w:abstractNum>
  <w:abstractNum w:abstractNumId="11">
    <w:nsid w:val="05647EFF"/>
    <w:multiLevelType w:val="multilevel"/>
    <w:tmpl w:val="2E10A600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55546"/>
    <w:multiLevelType w:val="multilevel"/>
    <w:tmpl w:val="D3FE65DE"/>
    <w:lvl w:ilvl="0">
      <w:start w:val="3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25CC4BB0"/>
    <w:multiLevelType w:val="multilevel"/>
    <w:tmpl w:val="5B46FC5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3A366E47"/>
    <w:multiLevelType w:val="hybridMultilevel"/>
    <w:tmpl w:val="98FCA3D2"/>
    <w:lvl w:ilvl="0" w:tplc="2C5AF75C">
      <w:start w:val="1"/>
      <w:numFmt w:val="decimal"/>
      <w:pStyle w:val="ListNumber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490522"/>
    <w:multiLevelType w:val="multilevel"/>
    <w:tmpl w:val="5BE2792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6D6C47"/>
    <w:multiLevelType w:val="multilevel"/>
    <w:tmpl w:val="5238C79A"/>
    <w:lvl w:ilvl="0">
      <w:start w:val="3"/>
      <w:numFmt w:val="decimal"/>
      <w:lvlText w:val="Chapter %1\n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AED2678"/>
    <w:multiLevelType w:val="multilevel"/>
    <w:tmpl w:val="A9E40176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20"/>
  </w:num>
  <w:num w:numId="16">
    <w:abstractNumId w:val="25"/>
  </w:num>
  <w:num w:numId="17">
    <w:abstractNumId w:val="17"/>
  </w:num>
  <w:num w:numId="18">
    <w:abstractNumId w:val="29"/>
  </w:num>
  <w:num w:numId="19">
    <w:abstractNumId w:val="15"/>
  </w:num>
  <w:num w:numId="20">
    <w:abstractNumId w:val="23"/>
  </w:num>
  <w:num w:numId="21">
    <w:abstractNumId w:val="27"/>
  </w:num>
  <w:num w:numId="22">
    <w:abstractNumId w:val="13"/>
  </w:num>
  <w:num w:numId="23">
    <w:abstractNumId w:val="24"/>
  </w:num>
  <w:num w:numId="24">
    <w:abstractNumId w:val="11"/>
  </w:num>
  <w:num w:numId="25">
    <w:abstractNumId w:val="28"/>
  </w:num>
  <w:num w:numId="26">
    <w:abstractNumId w:val="18"/>
  </w:num>
  <w:num w:numId="27">
    <w:abstractNumId w:val="19"/>
  </w:num>
  <w:num w:numId="2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6"/>
  </w:num>
  <w:num w:numId="31">
    <w:abstractNumId w:val="14"/>
  </w:num>
  <w:num w:numId="32">
    <w:abstractNumId w:val="26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2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77"/>
    <w:rsid w:val="0001030A"/>
    <w:rsid w:val="00010E54"/>
    <w:rsid w:val="00017252"/>
    <w:rsid w:val="0002405C"/>
    <w:rsid w:val="0002694B"/>
    <w:rsid w:val="00027897"/>
    <w:rsid w:val="00034876"/>
    <w:rsid w:val="000530BE"/>
    <w:rsid w:val="0005324C"/>
    <w:rsid w:val="000543BE"/>
    <w:rsid w:val="00055470"/>
    <w:rsid w:val="0006203B"/>
    <w:rsid w:val="00062BD4"/>
    <w:rsid w:val="00065469"/>
    <w:rsid w:val="00065871"/>
    <w:rsid w:val="00084029"/>
    <w:rsid w:val="00086359"/>
    <w:rsid w:val="000A3177"/>
    <w:rsid w:val="000A5CCB"/>
    <w:rsid w:val="000B0D83"/>
    <w:rsid w:val="000C2428"/>
    <w:rsid w:val="000C399A"/>
    <w:rsid w:val="000E6C58"/>
    <w:rsid w:val="000E7940"/>
    <w:rsid w:val="000F239C"/>
    <w:rsid w:val="000F3290"/>
    <w:rsid w:val="000F685F"/>
    <w:rsid w:val="00101C96"/>
    <w:rsid w:val="00106682"/>
    <w:rsid w:val="0010726D"/>
    <w:rsid w:val="0011381C"/>
    <w:rsid w:val="001143F0"/>
    <w:rsid w:val="0012170F"/>
    <w:rsid w:val="001300E1"/>
    <w:rsid w:val="00144D3B"/>
    <w:rsid w:val="00146649"/>
    <w:rsid w:val="001601F2"/>
    <w:rsid w:val="0016367B"/>
    <w:rsid w:val="00194CB4"/>
    <w:rsid w:val="001B24D2"/>
    <w:rsid w:val="001B2B80"/>
    <w:rsid w:val="001C7115"/>
    <w:rsid w:val="001E7142"/>
    <w:rsid w:val="001F4156"/>
    <w:rsid w:val="001F64E1"/>
    <w:rsid w:val="00203FC4"/>
    <w:rsid w:val="00210AB8"/>
    <w:rsid w:val="00216B3F"/>
    <w:rsid w:val="0024207D"/>
    <w:rsid w:val="002445A2"/>
    <w:rsid w:val="002606CD"/>
    <w:rsid w:val="0028082D"/>
    <w:rsid w:val="00291594"/>
    <w:rsid w:val="00293F41"/>
    <w:rsid w:val="002B7651"/>
    <w:rsid w:val="002C16BB"/>
    <w:rsid w:val="002C1A20"/>
    <w:rsid w:val="002D2E22"/>
    <w:rsid w:val="002D6514"/>
    <w:rsid w:val="002F0524"/>
    <w:rsid w:val="002F0766"/>
    <w:rsid w:val="002F60F5"/>
    <w:rsid w:val="003127B3"/>
    <w:rsid w:val="00315168"/>
    <w:rsid w:val="00324D18"/>
    <w:rsid w:val="00330C1D"/>
    <w:rsid w:val="00354A31"/>
    <w:rsid w:val="00373F7E"/>
    <w:rsid w:val="00392D7D"/>
    <w:rsid w:val="003A2D6A"/>
    <w:rsid w:val="003A6E85"/>
    <w:rsid w:val="003B1496"/>
    <w:rsid w:val="003C1B6B"/>
    <w:rsid w:val="003D2325"/>
    <w:rsid w:val="003D38CF"/>
    <w:rsid w:val="003D7042"/>
    <w:rsid w:val="003E32D1"/>
    <w:rsid w:val="003E5C1E"/>
    <w:rsid w:val="0040466A"/>
    <w:rsid w:val="004122C6"/>
    <w:rsid w:val="00412DBD"/>
    <w:rsid w:val="00432BE0"/>
    <w:rsid w:val="00435A5D"/>
    <w:rsid w:val="00457916"/>
    <w:rsid w:val="0046424E"/>
    <w:rsid w:val="004649EF"/>
    <w:rsid w:val="004671C6"/>
    <w:rsid w:val="0047494D"/>
    <w:rsid w:val="004805FD"/>
    <w:rsid w:val="004833BA"/>
    <w:rsid w:val="004A3DD2"/>
    <w:rsid w:val="004B0F9D"/>
    <w:rsid w:val="004B1F70"/>
    <w:rsid w:val="004B3C67"/>
    <w:rsid w:val="004D174E"/>
    <w:rsid w:val="004E0314"/>
    <w:rsid w:val="00514DC3"/>
    <w:rsid w:val="0052229A"/>
    <w:rsid w:val="00524317"/>
    <w:rsid w:val="0053151B"/>
    <w:rsid w:val="00546079"/>
    <w:rsid w:val="005575F9"/>
    <w:rsid w:val="00576650"/>
    <w:rsid w:val="00576860"/>
    <w:rsid w:val="00597B4A"/>
    <w:rsid w:val="005B724F"/>
    <w:rsid w:val="005B7C17"/>
    <w:rsid w:val="005C3A53"/>
    <w:rsid w:val="005D5AD4"/>
    <w:rsid w:val="005E5883"/>
    <w:rsid w:val="00610E88"/>
    <w:rsid w:val="00612463"/>
    <w:rsid w:val="00623310"/>
    <w:rsid w:val="00636905"/>
    <w:rsid w:val="00645FAE"/>
    <w:rsid w:val="00646262"/>
    <w:rsid w:val="00664A3D"/>
    <w:rsid w:val="00684276"/>
    <w:rsid w:val="00694199"/>
    <w:rsid w:val="006B414D"/>
    <w:rsid w:val="006C7049"/>
    <w:rsid w:val="006D60FF"/>
    <w:rsid w:val="006E1B47"/>
    <w:rsid w:val="006E5204"/>
    <w:rsid w:val="006E6AB1"/>
    <w:rsid w:val="006F231F"/>
    <w:rsid w:val="006F7BA9"/>
    <w:rsid w:val="007075A1"/>
    <w:rsid w:val="007306D2"/>
    <w:rsid w:val="00737C2C"/>
    <w:rsid w:val="0074074C"/>
    <w:rsid w:val="007564EC"/>
    <w:rsid w:val="00757FD6"/>
    <w:rsid w:val="007632B9"/>
    <w:rsid w:val="00785B5A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07E48"/>
    <w:rsid w:val="0085772C"/>
    <w:rsid w:val="00871AFD"/>
    <w:rsid w:val="008748BB"/>
    <w:rsid w:val="00877082"/>
    <w:rsid w:val="00896D04"/>
    <w:rsid w:val="008B10A0"/>
    <w:rsid w:val="008B2438"/>
    <w:rsid w:val="008B7CA0"/>
    <w:rsid w:val="008D57BB"/>
    <w:rsid w:val="008E573F"/>
    <w:rsid w:val="008F0D8D"/>
    <w:rsid w:val="008F3FBE"/>
    <w:rsid w:val="00910377"/>
    <w:rsid w:val="009162DF"/>
    <w:rsid w:val="009177CF"/>
    <w:rsid w:val="00923E77"/>
    <w:rsid w:val="00941C17"/>
    <w:rsid w:val="00955FB7"/>
    <w:rsid w:val="00974F38"/>
    <w:rsid w:val="00993640"/>
    <w:rsid w:val="009A2B73"/>
    <w:rsid w:val="009A7224"/>
    <w:rsid w:val="009C2A70"/>
    <w:rsid w:val="00A00371"/>
    <w:rsid w:val="00A15F1B"/>
    <w:rsid w:val="00A237C8"/>
    <w:rsid w:val="00A4767C"/>
    <w:rsid w:val="00A6435B"/>
    <w:rsid w:val="00A67697"/>
    <w:rsid w:val="00A81172"/>
    <w:rsid w:val="00AE1F8F"/>
    <w:rsid w:val="00AE2300"/>
    <w:rsid w:val="00AE5ACF"/>
    <w:rsid w:val="00AE61B6"/>
    <w:rsid w:val="00AE6AF4"/>
    <w:rsid w:val="00B11CED"/>
    <w:rsid w:val="00B16E1F"/>
    <w:rsid w:val="00B20E45"/>
    <w:rsid w:val="00B22600"/>
    <w:rsid w:val="00B31D7D"/>
    <w:rsid w:val="00B53249"/>
    <w:rsid w:val="00B572DE"/>
    <w:rsid w:val="00B6223B"/>
    <w:rsid w:val="00B777B2"/>
    <w:rsid w:val="00B83742"/>
    <w:rsid w:val="00B839A6"/>
    <w:rsid w:val="00B875D8"/>
    <w:rsid w:val="00B92CA2"/>
    <w:rsid w:val="00BD1333"/>
    <w:rsid w:val="00BD16B8"/>
    <w:rsid w:val="00BD1840"/>
    <w:rsid w:val="00BD2D8D"/>
    <w:rsid w:val="00BE0857"/>
    <w:rsid w:val="00BE0DDF"/>
    <w:rsid w:val="00BE2123"/>
    <w:rsid w:val="00BE293A"/>
    <w:rsid w:val="00BE35EB"/>
    <w:rsid w:val="00BE58F0"/>
    <w:rsid w:val="00BE6B1C"/>
    <w:rsid w:val="00C208BE"/>
    <w:rsid w:val="00C33D48"/>
    <w:rsid w:val="00C34CE0"/>
    <w:rsid w:val="00C464E5"/>
    <w:rsid w:val="00C53C4B"/>
    <w:rsid w:val="00C91F44"/>
    <w:rsid w:val="00CA3236"/>
    <w:rsid w:val="00CD53AE"/>
    <w:rsid w:val="00CE2EF8"/>
    <w:rsid w:val="00CF01FB"/>
    <w:rsid w:val="00CF5F8F"/>
    <w:rsid w:val="00D005B7"/>
    <w:rsid w:val="00D104A7"/>
    <w:rsid w:val="00D12C83"/>
    <w:rsid w:val="00D27CDF"/>
    <w:rsid w:val="00D4524D"/>
    <w:rsid w:val="00D70891"/>
    <w:rsid w:val="00D77563"/>
    <w:rsid w:val="00D82290"/>
    <w:rsid w:val="00D84489"/>
    <w:rsid w:val="00D9043D"/>
    <w:rsid w:val="00D9525B"/>
    <w:rsid w:val="00DB5F36"/>
    <w:rsid w:val="00DC0E56"/>
    <w:rsid w:val="00DC40BA"/>
    <w:rsid w:val="00DC4ED9"/>
    <w:rsid w:val="00DC697B"/>
    <w:rsid w:val="00DD0587"/>
    <w:rsid w:val="00DE23DC"/>
    <w:rsid w:val="00DF301C"/>
    <w:rsid w:val="00E22E7C"/>
    <w:rsid w:val="00E24628"/>
    <w:rsid w:val="00E303B8"/>
    <w:rsid w:val="00E36658"/>
    <w:rsid w:val="00E4706E"/>
    <w:rsid w:val="00E61B96"/>
    <w:rsid w:val="00E645B3"/>
    <w:rsid w:val="00E80077"/>
    <w:rsid w:val="00E83932"/>
    <w:rsid w:val="00E97BE5"/>
    <w:rsid w:val="00EB4EAA"/>
    <w:rsid w:val="00EB517F"/>
    <w:rsid w:val="00EC142C"/>
    <w:rsid w:val="00EC3BD7"/>
    <w:rsid w:val="00EC65AD"/>
    <w:rsid w:val="00EF67DE"/>
    <w:rsid w:val="00F03490"/>
    <w:rsid w:val="00F162A5"/>
    <w:rsid w:val="00F263EA"/>
    <w:rsid w:val="00F51E28"/>
    <w:rsid w:val="00F61FE6"/>
    <w:rsid w:val="00F6259B"/>
    <w:rsid w:val="00F62614"/>
    <w:rsid w:val="00F829AA"/>
    <w:rsid w:val="00F85430"/>
    <w:rsid w:val="00FA156F"/>
    <w:rsid w:val="00FB531E"/>
    <w:rsid w:val="00FC2068"/>
    <w:rsid w:val="00FF03CB"/>
    <w:rsid w:val="00FF4ECE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PGothic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  <w:sz w:val="20"/>
      <w:szCs w:val="20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1"/>
    <w:uiPriority w:val="99"/>
    <w:qFormat/>
    <w:rsid w:val="008F3FBE"/>
    <w:pPr>
      <w:keepNext/>
      <w:keepLines/>
      <w:numPr>
        <w:numId w:val="18"/>
      </w:numPr>
      <w:spacing w:after="500" w:line="900" w:lineRule="exact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1"/>
    <w:uiPriority w:val="99"/>
    <w:qFormat/>
    <w:rsid w:val="008F3FBE"/>
    <w:pPr>
      <w:keepNext/>
      <w:keepLines/>
      <w:numPr>
        <w:ilvl w:val="1"/>
        <w:numId w:val="18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1"/>
    <w:uiPriority w:val="99"/>
    <w:qFormat/>
    <w:rsid w:val="008F3FBE"/>
    <w:pPr>
      <w:keepNext/>
      <w:keepLines/>
      <w:numPr>
        <w:ilvl w:val="2"/>
        <w:numId w:val="18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1"/>
    <w:uiPriority w:val="99"/>
    <w:qFormat/>
    <w:rsid w:val="008F3FBE"/>
    <w:pPr>
      <w:keepNext/>
      <w:keepLines/>
      <w:numPr>
        <w:ilvl w:val="3"/>
        <w:numId w:val="18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8F3FBE"/>
    <w:pPr>
      <w:keepNext/>
      <w:keepLines/>
      <w:numPr>
        <w:ilvl w:val="4"/>
        <w:numId w:val="18"/>
      </w:numPr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8F3FBE"/>
    <w:pPr>
      <w:keepNext/>
      <w:keepLines/>
      <w:numPr>
        <w:ilvl w:val="5"/>
        <w:numId w:val="18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70891"/>
    <w:pPr>
      <w:keepNext/>
      <w:keepLines/>
      <w:numPr>
        <w:ilvl w:val="6"/>
        <w:numId w:val="18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70891"/>
    <w:pPr>
      <w:keepNext/>
      <w:keepLines/>
      <w:numPr>
        <w:ilvl w:val="7"/>
        <w:numId w:val="18"/>
      </w:numPr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70891"/>
    <w:pPr>
      <w:keepNext/>
      <w:keepLines/>
      <w:numPr>
        <w:ilvl w:val="8"/>
        <w:numId w:val="18"/>
      </w:numPr>
      <w:spacing w:before="20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2835EB"/>
    <w:rPr>
      <w:rFonts w:asciiTheme="majorHAnsi" w:eastAsiaTheme="majorEastAsia" w:hAnsiTheme="majorHAnsi" w:cstheme="majorBidi"/>
      <w:b/>
      <w:bCs/>
      <w:spacing w:val="-2"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semiHidden/>
    <w:rsid w:val="002835EB"/>
    <w:rPr>
      <w:rFonts w:asciiTheme="majorHAnsi" w:eastAsiaTheme="majorEastAsia" w:hAnsiTheme="majorHAnsi" w:cstheme="majorBidi"/>
      <w:b/>
      <w:bCs/>
      <w:i/>
      <w:iCs/>
      <w:spacing w:val="-2"/>
      <w:sz w:val="28"/>
      <w:szCs w:val="28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semiHidden/>
    <w:rsid w:val="002835EB"/>
    <w:rPr>
      <w:rFonts w:asciiTheme="majorHAnsi" w:eastAsiaTheme="majorEastAsia" w:hAnsiTheme="majorHAnsi" w:cstheme="majorBidi"/>
      <w:b/>
      <w:bCs/>
      <w:spacing w:val="-2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semiHidden/>
    <w:rsid w:val="002835EB"/>
    <w:rPr>
      <w:rFonts w:asciiTheme="minorHAnsi" w:eastAsiaTheme="minorEastAsia" w:hAnsiTheme="minorHAnsi" w:cstheme="minorBidi"/>
      <w:b/>
      <w:bCs/>
      <w:spacing w:val="-2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EB"/>
    <w:rPr>
      <w:rFonts w:asciiTheme="minorHAnsi" w:eastAsiaTheme="minorEastAsia" w:hAnsiTheme="minorHAnsi" w:cstheme="minorBidi"/>
      <w:b/>
      <w:bCs/>
      <w:i/>
      <w:iCs/>
      <w:spacing w:val="-2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EB"/>
    <w:rPr>
      <w:rFonts w:asciiTheme="minorHAnsi" w:eastAsiaTheme="minorEastAsia" w:hAnsiTheme="minorHAnsi" w:cstheme="minorBidi"/>
      <w:b/>
      <w:bCs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EB"/>
    <w:rPr>
      <w:rFonts w:asciiTheme="minorHAnsi" w:eastAsiaTheme="minorEastAsia" w:hAnsiTheme="minorHAnsi" w:cstheme="minorBidi"/>
      <w:spacing w:val="-2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EB"/>
    <w:rPr>
      <w:rFonts w:asciiTheme="minorHAnsi" w:eastAsiaTheme="minorEastAsia" w:hAnsiTheme="minorHAnsi" w:cstheme="minorBidi"/>
      <w:i/>
      <w:iCs/>
      <w:spacing w:val="-2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EB"/>
    <w:rPr>
      <w:rFonts w:asciiTheme="majorHAnsi" w:eastAsiaTheme="majorEastAsia" w:hAnsiTheme="majorHAnsi" w:cstheme="majorBidi"/>
      <w:spacing w:val="-2"/>
      <w:lang w:val="en-US" w:eastAsia="en-US"/>
    </w:rPr>
  </w:style>
  <w:style w:type="paragraph" w:customStyle="1" w:styleId="CYFLead">
    <w:name w:val="CYF_Lead"/>
    <w:basedOn w:val="Normal"/>
    <w:next w:val="Normal"/>
    <w:uiPriority w:val="99"/>
    <w:rsid w:val="00B16E1F"/>
    <w:rPr>
      <w:b/>
      <w:bCs/>
      <w:color w:val="808080"/>
    </w:rPr>
  </w:style>
  <w:style w:type="character" w:customStyle="1" w:styleId="Heading1Char1">
    <w:name w:val="Heading 1 Char1"/>
    <w:aliases w:val="CYF_Heading 1 Char1"/>
    <w:link w:val="Heading1"/>
    <w:uiPriority w:val="99"/>
    <w:locked/>
    <w:rsid w:val="008F3FBE"/>
    <w:rPr>
      <w:rFonts w:ascii="Calibri" w:hAnsi="Calibri"/>
      <w:color w:val="6B205F"/>
      <w:spacing w:val="-2"/>
      <w:sz w:val="94"/>
      <w:szCs w:val="94"/>
      <w:lang w:val="en-US" w:eastAsia="en-US"/>
    </w:rPr>
  </w:style>
  <w:style w:type="character" w:customStyle="1" w:styleId="Heading2Char1">
    <w:name w:val="Heading 2 Char1"/>
    <w:aliases w:val="CYF_Heading 2 Char1"/>
    <w:link w:val="Heading2"/>
    <w:uiPriority w:val="99"/>
    <w:locked/>
    <w:rsid w:val="008F3FBE"/>
    <w:rPr>
      <w:rFonts w:ascii="Calibri" w:hAnsi="Calibri"/>
      <w:b/>
      <w:bCs/>
      <w:color w:val="6B205F"/>
      <w:sz w:val="40"/>
      <w:szCs w:val="40"/>
      <w:lang w:val="en-US" w:eastAsia="en-US"/>
    </w:rPr>
  </w:style>
  <w:style w:type="character" w:customStyle="1" w:styleId="Heading3Char1">
    <w:name w:val="Heading 3 Char1"/>
    <w:aliases w:val="CYF_Heading 3 Char1"/>
    <w:link w:val="Heading3"/>
    <w:uiPriority w:val="99"/>
    <w:locked/>
    <w:rsid w:val="008F3FBE"/>
    <w:rPr>
      <w:rFonts w:ascii="Calibri" w:hAnsi="Calibri"/>
      <w:b/>
      <w:bCs/>
      <w:color w:val="6B205F"/>
      <w:sz w:val="26"/>
      <w:szCs w:val="26"/>
      <w:lang w:val="en-US" w:eastAsia="en-US"/>
    </w:rPr>
  </w:style>
  <w:style w:type="character" w:customStyle="1" w:styleId="Heading4Char1">
    <w:name w:val="Heading 4 Char1"/>
    <w:aliases w:val="CYF_Heading 4 Char1"/>
    <w:link w:val="Heading4"/>
    <w:uiPriority w:val="99"/>
    <w:locked/>
    <w:rsid w:val="008F3FBE"/>
    <w:rPr>
      <w:rFonts w:ascii="Calibri" w:hAnsi="Calibri"/>
      <w:b/>
      <w:bCs/>
      <w:color w:val="6B205F"/>
      <w:spacing w:val="-2"/>
      <w:sz w:val="20"/>
      <w:szCs w:val="20"/>
      <w:lang w:val="en-US" w:eastAsia="en-US"/>
    </w:rPr>
  </w:style>
  <w:style w:type="character" w:customStyle="1" w:styleId="Heading5Char1">
    <w:name w:val="Heading 5 Char1"/>
    <w:link w:val="Heading5"/>
    <w:uiPriority w:val="99"/>
    <w:locked/>
    <w:rsid w:val="008F3FBE"/>
    <w:rPr>
      <w:rFonts w:ascii="Calibri" w:hAnsi="Calibri"/>
      <w:i/>
      <w:iCs/>
      <w:color w:val="35102F"/>
      <w:spacing w:val="-2"/>
      <w:sz w:val="20"/>
      <w:szCs w:val="20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8F3FBE"/>
    <w:rPr>
      <w:rFonts w:ascii="Calibri" w:hAnsi="Calibri"/>
      <w:i/>
      <w:iCs/>
      <w:color w:val="35102F"/>
      <w:spacing w:val="-2"/>
      <w:sz w:val="20"/>
      <w:szCs w:val="20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D70891"/>
    <w:rPr>
      <w:rFonts w:ascii="Calibri" w:hAnsi="Calibri"/>
      <w:i/>
      <w:iCs/>
      <w:color w:val="404040"/>
      <w:spacing w:val="-2"/>
      <w:sz w:val="20"/>
      <w:szCs w:val="20"/>
      <w:lang w:val="en-US" w:eastAsia="en-US"/>
    </w:rPr>
  </w:style>
  <w:style w:type="character" w:customStyle="1" w:styleId="Heading8Char1">
    <w:name w:val="Heading 8 Char1"/>
    <w:link w:val="Heading8"/>
    <w:uiPriority w:val="99"/>
    <w:locked/>
    <w:rsid w:val="00D70891"/>
    <w:rPr>
      <w:rFonts w:ascii="Calibri" w:hAnsi="Calibri"/>
      <w:color w:val="404040"/>
      <w:spacing w:val="-2"/>
      <w:sz w:val="20"/>
      <w:szCs w:val="20"/>
      <w:lang w:val="en-US" w:eastAsia="en-US"/>
    </w:rPr>
  </w:style>
  <w:style w:type="character" w:customStyle="1" w:styleId="Heading9Char1">
    <w:name w:val="Heading 9 Char1"/>
    <w:link w:val="Heading9"/>
    <w:uiPriority w:val="99"/>
    <w:locked/>
    <w:rsid w:val="00D70891"/>
    <w:rPr>
      <w:rFonts w:ascii="Calibri" w:hAnsi="Calibri"/>
      <w:i/>
      <w:iCs/>
      <w:color w:val="404040"/>
      <w:spacing w:val="-2"/>
      <w:sz w:val="20"/>
      <w:szCs w:val="20"/>
      <w:lang w:val="en-US" w:eastAsia="en-US"/>
    </w:rPr>
  </w:style>
  <w:style w:type="paragraph" w:styleId="Header">
    <w:name w:val="header"/>
    <w:basedOn w:val="Normal"/>
    <w:link w:val="HeaderChar1"/>
    <w:uiPriority w:val="99"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35EB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HeaderChar1">
    <w:name w:val="Header Char1"/>
    <w:link w:val="Header"/>
    <w:uiPriority w:val="99"/>
    <w:locked/>
    <w:rsid w:val="00D104A7"/>
    <w:rPr>
      <w:rFonts w:ascii="Calibri" w:hAnsi="Calibri"/>
      <w:sz w:val="21"/>
      <w:lang w:val="en-US" w:eastAsia="en-US"/>
    </w:rPr>
  </w:style>
  <w:style w:type="paragraph" w:styleId="Footer">
    <w:name w:val="footer"/>
    <w:aliases w:val="CYF_Voettekst"/>
    <w:basedOn w:val="Normal"/>
    <w:link w:val="FooterChar1"/>
    <w:uiPriority w:val="99"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semiHidden/>
    <w:rsid w:val="002835EB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FooterChar1">
    <w:name w:val="Footer Char1"/>
    <w:aliases w:val="CYF_Voettekst Char1"/>
    <w:link w:val="Footer"/>
    <w:uiPriority w:val="99"/>
    <w:locked/>
    <w:rsid w:val="00597B4A"/>
    <w:rPr>
      <w:rFonts w:ascii="Calibri" w:hAnsi="Calibri"/>
      <w:i/>
      <w:color w:val="6B205F"/>
      <w:spacing w:val="-2"/>
      <w:sz w:val="14"/>
      <w:lang w:val="en-US" w:eastAsia="en-US"/>
    </w:rPr>
  </w:style>
  <w:style w:type="character" w:styleId="FootnoteReference">
    <w:name w:val="footnote reference"/>
    <w:basedOn w:val="DefaultParagraphFont"/>
    <w:uiPriority w:val="99"/>
    <w:rsid w:val="00D12C83"/>
    <w:rPr>
      <w:rFonts w:ascii="Calibri" w:hAnsi="Calibri"/>
      <w:vertAlign w:val="superscript"/>
    </w:rPr>
  </w:style>
  <w:style w:type="paragraph" w:styleId="FootnoteText">
    <w:name w:val="footnote text"/>
    <w:aliases w:val="CYF_Voetnoottekst"/>
    <w:basedOn w:val="Normal"/>
    <w:link w:val="FootnoteTextChar1"/>
    <w:uiPriority w:val="99"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semiHidden/>
    <w:rsid w:val="002835EB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FootnoteTextChar1">
    <w:name w:val="Footnote Text Char1"/>
    <w:aliases w:val="CYF_Voetnoottekst Char1"/>
    <w:link w:val="FootnoteText"/>
    <w:uiPriority w:val="99"/>
    <w:locked/>
    <w:rsid w:val="005C3A53"/>
    <w:rPr>
      <w:rFonts w:ascii="Calibri" w:hAnsi="Calibri"/>
      <w:color w:val="7F7F7F"/>
      <w:spacing w:val="-2"/>
      <w:sz w:val="16"/>
      <w:lang w:val="en-US" w:eastAsia="en-US"/>
    </w:rPr>
  </w:style>
  <w:style w:type="character" w:styleId="Emphasis">
    <w:name w:val="Emphasis"/>
    <w:basedOn w:val="DefaultParagraphFont"/>
    <w:uiPriority w:val="99"/>
    <w:qFormat/>
    <w:rsid w:val="0006203B"/>
    <w:rPr>
      <w:i/>
    </w:rPr>
  </w:style>
  <w:style w:type="table" w:styleId="TableGrid">
    <w:name w:val="Table Grid"/>
    <w:basedOn w:val="TableNormal"/>
    <w:uiPriority w:val="99"/>
    <w:rsid w:val="007C40F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uiPriority w:val="99"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uiPriority w:val="99"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uiPriority w:val="99"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99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uiPriority w:val="99"/>
    <w:rsid w:val="00101C96"/>
    <w:pPr>
      <w:framePr w:hSpace="142" w:wrap="around" w:hAnchor="margin" w:y="1"/>
      <w:numPr>
        <w:numId w:val="14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99"/>
    <w:qFormat/>
    <w:rsid w:val="0006203B"/>
    <w:rPr>
      <w:b/>
    </w:rPr>
  </w:style>
  <w:style w:type="paragraph" w:styleId="ListBullet">
    <w:name w:val="List Bullet"/>
    <w:aliases w:val="CYF_Bullet list"/>
    <w:basedOn w:val="Normal"/>
    <w:uiPriority w:val="99"/>
    <w:rsid w:val="00101C96"/>
    <w:pPr>
      <w:numPr>
        <w:numId w:val="3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1"/>
    <w:uiPriority w:val="99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2835EB"/>
    <w:rPr>
      <w:rFonts w:asciiTheme="majorHAnsi" w:eastAsiaTheme="majorEastAsia" w:hAnsiTheme="majorHAnsi" w:cstheme="majorBidi"/>
      <w:b/>
      <w:bCs/>
      <w:spacing w:val="-2"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BD16B8"/>
    <w:rPr>
      <w:rFonts w:ascii="Calibri" w:eastAsia="MS PGothic" w:hAnsi="Calibri"/>
      <w:color w:val="6B205F"/>
      <w:spacing w:val="-2"/>
      <w:kern w:val="28"/>
      <w:sz w:val="94"/>
      <w:lang w:val="en-US" w:eastAsia="en-US"/>
    </w:rPr>
  </w:style>
  <w:style w:type="paragraph" w:styleId="TOC3">
    <w:name w:val="toc 3"/>
    <w:basedOn w:val="TOC2"/>
    <w:next w:val="Normal"/>
    <w:uiPriority w:val="99"/>
    <w:rsid w:val="00DF301C"/>
    <w:rPr>
      <w:i/>
      <w:iCs/>
    </w:rPr>
  </w:style>
  <w:style w:type="paragraph" w:styleId="TOC2">
    <w:name w:val="toc 2"/>
    <w:basedOn w:val="Normal"/>
    <w:next w:val="Normal"/>
    <w:uiPriority w:val="99"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99"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99"/>
    <w:rsid w:val="000A317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/>
      </w:p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Col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styleId="LightShading-Accent1">
    <w:name w:val="Light Shading Accent 1"/>
    <w:basedOn w:val="TableNormal"/>
    <w:uiPriority w:val="99"/>
    <w:rsid w:val="0010726D"/>
    <w:rPr>
      <w:color w:val="501846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bottom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basedOn w:val="DefaultParagraphFont"/>
    <w:uiPriority w:val="99"/>
    <w:rsid w:val="00597B4A"/>
    <w:rPr>
      <w:b/>
      <w:color w:val="6B205F"/>
    </w:rPr>
  </w:style>
  <w:style w:type="table" w:styleId="LightShading-Accent4">
    <w:name w:val="Light Shading Accent 4"/>
    <w:basedOn w:val="TableNormal"/>
    <w:uiPriority w:val="99"/>
    <w:rsid w:val="00B83742"/>
    <w:rPr>
      <w:color w:val="004E6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bottom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Grid2-Accent1">
    <w:name w:val="Medium Grid 2 Accent 1"/>
    <w:basedOn w:val="TableNormal"/>
    <w:uiPriority w:val="99"/>
    <w:rsid w:val="00EC65AD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/>
    </w:tcPr>
    <w:tblStylePr w:type="firstRow">
      <w:tblPr/>
      <w:tcPr>
        <w:shd w:val="clear" w:color="auto" w:fill="F6E2F3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tblPr/>
      <w:tcPr>
        <w:shd w:val="clear" w:color="auto" w:fill="D470C4"/>
      </w:tcPr>
    </w:tblStylePr>
    <w:tblStylePr w:type="band1Horz"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rsid w:val="001300E1"/>
    <w:pPr>
      <w:numPr>
        <w:numId w:val="33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1"/>
    <w:uiPriority w:val="99"/>
    <w:semiHidden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5EB"/>
    <w:rPr>
      <w:spacing w:val="-2"/>
      <w:sz w:val="0"/>
      <w:szCs w:val="0"/>
      <w:lang w:val="en-US"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208BE"/>
    <w:rPr>
      <w:rFonts w:ascii="Lucida Grande" w:hAnsi="Lucida Grande"/>
      <w:spacing w:val="-2"/>
      <w:sz w:val="18"/>
      <w:lang w:val="en-US" w:eastAsia="en-US"/>
    </w:rPr>
  </w:style>
  <w:style w:type="paragraph" w:customStyle="1" w:styleId="ListCharacter">
    <w:name w:val="List Character"/>
    <w:aliases w:val="CYF Alpha"/>
    <w:basedOn w:val="ListNumber"/>
    <w:uiPriority w:val="99"/>
    <w:rsid w:val="001300E1"/>
    <w:pPr>
      <w:numPr>
        <w:numId w:val="8"/>
      </w:numPr>
      <w:ind w:left="238" w:hanging="238"/>
    </w:pPr>
  </w:style>
  <w:style w:type="paragraph" w:styleId="ListParagraph">
    <w:name w:val="List Paragraph"/>
    <w:basedOn w:val="Normal"/>
    <w:uiPriority w:val="99"/>
    <w:qFormat/>
    <w:rsid w:val="00D4524D"/>
    <w:pPr>
      <w:ind w:left="720"/>
      <w:contextualSpacing/>
    </w:pPr>
  </w:style>
  <w:style w:type="paragraph" w:styleId="NoSpacing">
    <w:name w:val="No Spacing"/>
    <w:uiPriority w:val="99"/>
    <w:qFormat/>
    <w:rsid w:val="00D4524D"/>
    <w:rPr>
      <w:rFonts w:ascii="Calibri" w:hAnsi="Calibri"/>
      <w:spacing w:val="-2"/>
      <w:sz w:val="20"/>
      <w:szCs w:val="20"/>
      <w:lang w:val="en-US" w:eastAsia="en-US"/>
    </w:rPr>
  </w:style>
  <w:style w:type="table" w:styleId="LightList-Accent4">
    <w:name w:val="Light List Accent 4"/>
    <w:basedOn w:val="TableNormal"/>
    <w:uiPriority w:val="99"/>
    <w:rsid w:val="009A722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left w:val="single" w:sz="8" w:space="0" w:color="00698E"/>
        <w:bottom w:val="single" w:sz="8" w:space="0" w:color="00698E"/>
        <w:right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shd w:val="clear" w:color="auto" w:fill="00698E"/>
      </w:tcPr>
    </w:tblStylePr>
    <w:tblStylePr w:type="lastRow">
      <w:pPr>
        <w:spacing w:before="0" w:after="0"/>
      </w:pPr>
      <w:tblPr/>
      <w:tcPr>
        <w:tcBorders>
          <w:top w:val="double" w:sz="6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band1Vert"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  <w:tblStylePr w:type="band1Horz">
      <w:tblPr/>
      <w:tcPr>
        <w:tcBorders>
          <w:top w:val="single" w:sz="8" w:space="0" w:color="00698E"/>
          <w:left w:val="single" w:sz="8" w:space="0" w:color="00698E"/>
          <w:bottom w:val="single" w:sz="8" w:space="0" w:color="00698E"/>
          <w:right w:val="single" w:sz="8" w:space="0" w:color="00698E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176</TotalTime>
  <Pages>2</Pages>
  <Words>559</Words>
  <Characters>3077</Characters>
  <Application>Microsoft Office Outlook</Application>
  <DocSecurity>0</DocSecurity>
  <Lines>0</Lines>
  <Paragraphs>0</Paragraphs>
  <ScaleCrop>false</ScaleCrop>
  <Company>Child and Youth Finance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Money Week</dc:title>
  <dc:subject/>
  <dc:creator>Child &amp; Youth Finance International</dc:creator>
  <cp:keywords/>
  <dc:description/>
  <cp:lastModifiedBy>Nicole</cp:lastModifiedBy>
  <cp:revision>8</cp:revision>
  <cp:lastPrinted>2013-04-14T22:58:00Z</cp:lastPrinted>
  <dcterms:created xsi:type="dcterms:W3CDTF">2016-01-25T12:30:00Z</dcterms:created>
  <dcterms:modified xsi:type="dcterms:W3CDTF">2016-01-25T15:45:00Z</dcterms:modified>
</cp:coreProperties>
</file>